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C91E" w14:textId="3EEB90A5" w:rsidR="008C5AB7" w:rsidRPr="0051741C" w:rsidRDefault="008C5AB7" w:rsidP="00EC64A9">
      <w:pPr>
        <w:pStyle w:val="Caption"/>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Times New Roman" w:hAnsi="Times New Roman" w:cs="Times New Roman"/>
          <w:i w:val="0"/>
          <w:sz w:val="20"/>
          <w:szCs w:val="20"/>
          <w:lang w:val="en-NZ"/>
        </w:rPr>
      </w:pPr>
      <w:bookmarkStart w:id="0" w:name="_Ref467501032"/>
      <w:bookmarkStart w:id="1" w:name="_Toc469342697"/>
      <w:r w:rsidRPr="0051741C">
        <w:rPr>
          <w:rFonts w:ascii="Times New Roman" w:hAnsi="Times New Roman" w:cs="Times New Roman"/>
          <w:b/>
          <w:i w:val="0"/>
          <w:sz w:val="20"/>
          <w:szCs w:val="20"/>
          <w:lang w:val="en-NZ"/>
        </w:rPr>
        <w:t>Table</w:t>
      </w:r>
      <w:bookmarkEnd w:id="0"/>
      <w:r w:rsidR="0051741C" w:rsidRPr="0051741C">
        <w:rPr>
          <w:rFonts w:ascii="Times New Roman" w:hAnsi="Times New Roman" w:cs="Times New Roman"/>
          <w:b/>
          <w:i w:val="0"/>
          <w:sz w:val="20"/>
          <w:szCs w:val="20"/>
          <w:lang w:val="en-NZ"/>
        </w:rPr>
        <w:t xml:space="preserve"> 1.</w:t>
      </w:r>
      <w:r w:rsidRPr="0051741C">
        <w:rPr>
          <w:rFonts w:ascii="Times New Roman" w:hAnsi="Times New Roman" w:cs="Times New Roman"/>
          <w:b/>
          <w:i w:val="0"/>
          <w:sz w:val="20"/>
          <w:szCs w:val="20"/>
          <w:lang w:val="en-NZ"/>
        </w:rPr>
        <w:t xml:space="preserve"> </w:t>
      </w:r>
      <w:r w:rsidRPr="0051741C">
        <w:rPr>
          <w:rFonts w:ascii="Times New Roman" w:hAnsi="Times New Roman" w:cs="Times New Roman"/>
          <w:i w:val="0"/>
          <w:sz w:val="20"/>
          <w:szCs w:val="20"/>
          <w:lang w:val="en-NZ"/>
        </w:rPr>
        <w:t>Socio-demographic and health status variables included in VIP.net and VDR dataset and in the resulting linked dataset</w:t>
      </w:r>
      <w:bookmarkEnd w:id="1"/>
      <w:r w:rsidR="0051741C" w:rsidRPr="0051741C">
        <w:rPr>
          <w:rFonts w:ascii="Times New Roman" w:hAnsi="Times New Roman" w:cs="Times New Roman"/>
          <w:i w:val="0"/>
          <w:sz w:val="20"/>
          <w:szCs w:val="20"/>
          <w:lang w:val="en-NZ"/>
        </w:rPr>
        <w:t>.</w:t>
      </w:r>
    </w:p>
    <w:tbl>
      <w:tblPr>
        <w:tblW w:w="14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4373"/>
        <w:gridCol w:w="2637"/>
        <w:gridCol w:w="2784"/>
        <w:gridCol w:w="2189"/>
      </w:tblGrid>
      <w:tr w:rsidR="008C5AB7" w:rsidRPr="0051741C" w14:paraId="65814EB5" w14:textId="77777777" w:rsidTr="0051741C">
        <w:trPr>
          <w:trHeight w:val="258"/>
        </w:trPr>
        <w:tc>
          <w:tcPr>
            <w:tcW w:w="2063" w:type="dxa"/>
            <w:shd w:val="clear" w:color="auto" w:fill="auto"/>
            <w:tcMar>
              <w:top w:w="80" w:type="dxa"/>
              <w:left w:w="80" w:type="dxa"/>
              <w:bottom w:w="80" w:type="dxa"/>
              <w:right w:w="80" w:type="dxa"/>
            </w:tcMar>
          </w:tcPr>
          <w:p w14:paraId="7A5C6D3F"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Variable</w:t>
            </w:r>
          </w:p>
        </w:tc>
        <w:tc>
          <w:tcPr>
            <w:tcW w:w="11983" w:type="dxa"/>
            <w:gridSpan w:val="4"/>
            <w:shd w:val="clear" w:color="auto" w:fill="auto"/>
            <w:tcMar>
              <w:top w:w="80" w:type="dxa"/>
              <w:left w:w="80" w:type="dxa"/>
              <w:bottom w:w="80" w:type="dxa"/>
              <w:right w:w="80" w:type="dxa"/>
            </w:tcMar>
          </w:tcPr>
          <w:p w14:paraId="46D7F290"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center"/>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variables PRESENT</w:t>
            </w:r>
          </w:p>
        </w:tc>
      </w:tr>
      <w:tr w:rsidR="008C5AB7" w:rsidRPr="0051741C" w14:paraId="020446E7" w14:textId="77777777" w:rsidTr="0051741C">
        <w:trPr>
          <w:trHeight w:val="198"/>
        </w:trPr>
        <w:tc>
          <w:tcPr>
            <w:tcW w:w="2063" w:type="dxa"/>
            <w:shd w:val="clear" w:color="auto" w:fill="auto"/>
            <w:tcMar>
              <w:top w:w="80" w:type="dxa"/>
              <w:left w:w="80" w:type="dxa"/>
              <w:bottom w:w="80" w:type="dxa"/>
              <w:right w:w="80" w:type="dxa"/>
            </w:tcMar>
          </w:tcPr>
          <w:p w14:paraId="2CB57223"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tc>
        <w:tc>
          <w:tcPr>
            <w:tcW w:w="4373" w:type="dxa"/>
            <w:shd w:val="clear" w:color="auto" w:fill="auto"/>
            <w:tcMar>
              <w:top w:w="80" w:type="dxa"/>
              <w:left w:w="80" w:type="dxa"/>
              <w:bottom w:w="80" w:type="dxa"/>
              <w:right w:w="80" w:type="dxa"/>
            </w:tcMar>
          </w:tcPr>
          <w:p w14:paraId="47E87045"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i/>
                <w:iCs/>
                <w:sz w:val="20"/>
                <w:szCs w:val="20"/>
                <w:lang w:val="en-NZ"/>
              </w:rPr>
              <w:t>VIP.net</w:t>
            </w:r>
          </w:p>
        </w:tc>
        <w:tc>
          <w:tcPr>
            <w:tcW w:w="2637" w:type="dxa"/>
            <w:shd w:val="clear" w:color="auto" w:fill="auto"/>
            <w:tcMar>
              <w:top w:w="80" w:type="dxa"/>
              <w:left w:w="80" w:type="dxa"/>
              <w:bottom w:w="80" w:type="dxa"/>
              <w:right w:w="80" w:type="dxa"/>
            </w:tcMar>
          </w:tcPr>
          <w:p w14:paraId="3B27F2D0"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i/>
                <w:iCs/>
                <w:sz w:val="20"/>
                <w:szCs w:val="20"/>
                <w:lang w:val="en-NZ"/>
              </w:rPr>
              <w:t>VDR</w:t>
            </w:r>
          </w:p>
        </w:tc>
        <w:tc>
          <w:tcPr>
            <w:tcW w:w="4973" w:type="dxa"/>
            <w:gridSpan w:val="2"/>
            <w:shd w:val="clear" w:color="auto" w:fill="auto"/>
            <w:tcMar>
              <w:top w:w="80" w:type="dxa"/>
              <w:left w:w="80" w:type="dxa"/>
              <w:bottom w:w="80" w:type="dxa"/>
              <w:right w:w="80" w:type="dxa"/>
            </w:tcMar>
          </w:tcPr>
          <w:p w14:paraId="069AF70C"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i/>
                <w:iCs/>
                <w:sz w:val="20"/>
                <w:szCs w:val="20"/>
                <w:lang w:val="en-NZ"/>
              </w:rPr>
              <w:t>Linked dataset</w:t>
            </w:r>
          </w:p>
        </w:tc>
      </w:tr>
      <w:tr w:rsidR="008C5AB7" w:rsidRPr="0051741C" w14:paraId="7889554B" w14:textId="77777777" w:rsidTr="0051741C">
        <w:trPr>
          <w:trHeight w:val="161"/>
        </w:trPr>
        <w:tc>
          <w:tcPr>
            <w:tcW w:w="14046" w:type="dxa"/>
            <w:gridSpan w:val="5"/>
            <w:shd w:val="clear" w:color="auto" w:fill="auto"/>
            <w:tcMar>
              <w:top w:w="80" w:type="dxa"/>
              <w:left w:w="80" w:type="dxa"/>
              <w:bottom w:w="80" w:type="dxa"/>
              <w:right w:w="80" w:type="dxa"/>
            </w:tcMar>
          </w:tcPr>
          <w:p w14:paraId="7920C097"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center"/>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Inclusion/ Exclusion criteria</w:t>
            </w:r>
          </w:p>
        </w:tc>
      </w:tr>
      <w:tr w:rsidR="008C5AB7" w:rsidRPr="0051741C" w14:paraId="16D43104" w14:textId="77777777" w:rsidTr="0051741C">
        <w:trPr>
          <w:trHeight w:val="341"/>
        </w:trPr>
        <w:tc>
          <w:tcPr>
            <w:tcW w:w="2063" w:type="dxa"/>
            <w:shd w:val="clear" w:color="auto" w:fill="auto"/>
            <w:tcMar>
              <w:top w:w="80" w:type="dxa"/>
              <w:left w:w="80" w:type="dxa"/>
              <w:bottom w:w="80" w:type="dxa"/>
              <w:right w:w="80" w:type="dxa"/>
            </w:tcMar>
          </w:tcPr>
          <w:p w14:paraId="479A1981"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National health Index number</w:t>
            </w:r>
          </w:p>
        </w:tc>
        <w:tc>
          <w:tcPr>
            <w:tcW w:w="4373" w:type="dxa"/>
            <w:shd w:val="clear" w:color="auto" w:fill="auto"/>
            <w:tcMar>
              <w:top w:w="80" w:type="dxa"/>
              <w:left w:w="80" w:type="dxa"/>
              <w:bottom w:w="80" w:type="dxa"/>
              <w:right w:w="80" w:type="dxa"/>
            </w:tcMar>
          </w:tcPr>
          <w:p w14:paraId="7DD13C0E"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c>
          <w:tcPr>
            <w:tcW w:w="2637" w:type="dxa"/>
            <w:shd w:val="clear" w:color="auto" w:fill="auto"/>
            <w:tcMar>
              <w:top w:w="80" w:type="dxa"/>
              <w:left w:w="80" w:type="dxa"/>
              <w:bottom w:w="80" w:type="dxa"/>
              <w:right w:w="80" w:type="dxa"/>
            </w:tcMar>
          </w:tcPr>
          <w:p w14:paraId="5EF9EF41"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tc>
        <w:tc>
          <w:tcPr>
            <w:tcW w:w="4973" w:type="dxa"/>
            <w:gridSpan w:val="2"/>
            <w:shd w:val="clear" w:color="auto" w:fill="auto"/>
            <w:tcMar>
              <w:top w:w="80" w:type="dxa"/>
              <w:left w:w="80" w:type="dxa"/>
              <w:bottom w:w="80" w:type="dxa"/>
              <w:right w:w="80" w:type="dxa"/>
            </w:tcMar>
          </w:tcPr>
          <w:p w14:paraId="355C685B"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p w14:paraId="351C396F"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Used to link VIP with VDR records.</w:t>
            </w:r>
          </w:p>
        </w:tc>
      </w:tr>
      <w:tr w:rsidR="0051741C" w:rsidRPr="0051741C" w14:paraId="5F81AD4E" w14:textId="77777777" w:rsidTr="00316F1C">
        <w:trPr>
          <w:trHeight w:val="520"/>
        </w:trPr>
        <w:tc>
          <w:tcPr>
            <w:tcW w:w="2063" w:type="dxa"/>
            <w:shd w:val="clear" w:color="auto" w:fill="auto"/>
            <w:tcMar>
              <w:top w:w="80" w:type="dxa"/>
              <w:left w:w="80" w:type="dxa"/>
              <w:bottom w:w="80" w:type="dxa"/>
              <w:right w:w="80" w:type="dxa"/>
            </w:tcMar>
          </w:tcPr>
          <w:p w14:paraId="65692A30" w14:textId="77777777" w:rsidR="0051741C" w:rsidRPr="0051741C" w:rsidRDefault="0051741C"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Primary health organisation (PHO) enrolment</w:t>
            </w:r>
          </w:p>
        </w:tc>
        <w:tc>
          <w:tcPr>
            <w:tcW w:w="4373" w:type="dxa"/>
            <w:shd w:val="clear" w:color="auto" w:fill="auto"/>
            <w:tcMar>
              <w:top w:w="80" w:type="dxa"/>
              <w:left w:w="80" w:type="dxa"/>
              <w:bottom w:w="80" w:type="dxa"/>
              <w:right w:w="80" w:type="dxa"/>
            </w:tcMar>
          </w:tcPr>
          <w:p w14:paraId="0E845513" w14:textId="77777777" w:rsidR="0051741C" w:rsidRPr="0051741C" w:rsidRDefault="0051741C"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p w14:paraId="05C06105" w14:textId="77777777" w:rsidR="0051741C" w:rsidRPr="0051741C" w:rsidRDefault="0051741C"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All cases require PHO-enrolment.</w:t>
            </w:r>
          </w:p>
        </w:tc>
        <w:tc>
          <w:tcPr>
            <w:tcW w:w="2637" w:type="dxa"/>
            <w:shd w:val="clear" w:color="auto" w:fill="auto"/>
            <w:tcMar>
              <w:top w:w="80" w:type="dxa"/>
              <w:left w:w="80" w:type="dxa"/>
              <w:bottom w:w="80" w:type="dxa"/>
              <w:right w:w="80" w:type="dxa"/>
            </w:tcMar>
          </w:tcPr>
          <w:p w14:paraId="4056A940" w14:textId="77777777" w:rsidR="0051741C" w:rsidRPr="0051741C" w:rsidRDefault="0051741C"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p w14:paraId="57A7CB13" w14:textId="77777777" w:rsidR="0051741C" w:rsidRPr="0051741C" w:rsidRDefault="0051741C"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Non-PHO enrolled included in study.</w:t>
            </w:r>
          </w:p>
        </w:tc>
        <w:tc>
          <w:tcPr>
            <w:tcW w:w="4973" w:type="dxa"/>
            <w:gridSpan w:val="2"/>
            <w:shd w:val="clear" w:color="auto" w:fill="auto"/>
            <w:tcMar>
              <w:top w:w="80" w:type="dxa"/>
              <w:left w:w="80" w:type="dxa"/>
              <w:bottom w:w="80" w:type="dxa"/>
              <w:right w:w="80" w:type="dxa"/>
            </w:tcMar>
          </w:tcPr>
          <w:p w14:paraId="0D06E007" w14:textId="77777777" w:rsidR="0051741C" w:rsidRPr="0051741C" w:rsidRDefault="0051741C"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p w14:paraId="4FD9543E" w14:textId="5BCD1EF8" w:rsidR="0051741C" w:rsidRPr="0051741C" w:rsidRDefault="0051741C"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r w:rsidRPr="0051741C">
              <w:rPr>
                <w:sz w:val="20"/>
                <w:szCs w:val="20"/>
              </w:rPr>
              <w:t>Non-PHO enrolled included in study.</w:t>
            </w:r>
          </w:p>
        </w:tc>
      </w:tr>
      <w:tr w:rsidR="008C5AB7" w:rsidRPr="0051741C" w14:paraId="6878B3AD" w14:textId="77777777" w:rsidTr="0051741C">
        <w:trPr>
          <w:trHeight w:val="161"/>
        </w:trPr>
        <w:tc>
          <w:tcPr>
            <w:tcW w:w="14046" w:type="dxa"/>
            <w:gridSpan w:val="5"/>
            <w:shd w:val="clear" w:color="auto" w:fill="auto"/>
            <w:tcMar>
              <w:top w:w="80" w:type="dxa"/>
              <w:left w:w="80" w:type="dxa"/>
              <w:bottom w:w="80" w:type="dxa"/>
              <w:right w:w="80" w:type="dxa"/>
            </w:tcMar>
          </w:tcPr>
          <w:p w14:paraId="0CE280ED"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center"/>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Socio-demographic characteristics</w:t>
            </w:r>
          </w:p>
        </w:tc>
      </w:tr>
      <w:tr w:rsidR="008C5AB7" w:rsidRPr="0051741C" w14:paraId="781DACA9" w14:textId="77777777" w:rsidTr="0051741C">
        <w:trPr>
          <w:trHeight w:val="771"/>
        </w:trPr>
        <w:tc>
          <w:tcPr>
            <w:tcW w:w="2063" w:type="dxa"/>
            <w:shd w:val="clear" w:color="auto" w:fill="auto"/>
            <w:tcMar>
              <w:top w:w="80" w:type="dxa"/>
              <w:left w:w="80" w:type="dxa"/>
              <w:bottom w:w="80" w:type="dxa"/>
              <w:right w:w="80" w:type="dxa"/>
            </w:tcMar>
          </w:tcPr>
          <w:p w14:paraId="7991DACC"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Geographical (Domicile) location</w:t>
            </w:r>
          </w:p>
        </w:tc>
        <w:tc>
          <w:tcPr>
            <w:tcW w:w="4373" w:type="dxa"/>
            <w:shd w:val="clear" w:color="auto" w:fill="auto"/>
            <w:tcMar>
              <w:top w:w="80" w:type="dxa"/>
              <w:left w:w="80" w:type="dxa"/>
              <w:bottom w:w="80" w:type="dxa"/>
              <w:right w:w="80" w:type="dxa"/>
            </w:tcMar>
          </w:tcPr>
          <w:p w14:paraId="6B83B3FA"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369C5F01"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Suburb that a diabetic resides within. Self-reported, but cross-checked with NHI records (within CMDHB ophthalmology clinics). </w:t>
            </w:r>
          </w:p>
        </w:tc>
        <w:tc>
          <w:tcPr>
            <w:tcW w:w="2637" w:type="dxa"/>
            <w:shd w:val="clear" w:color="auto" w:fill="auto"/>
            <w:tcMar>
              <w:top w:w="80" w:type="dxa"/>
              <w:left w:w="80" w:type="dxa"/>
              <w:bottom w:w="80" w:type="dxa"/>
              <w:right w:w="80" w:type="dxa"/>
            </w:tcMar>
          </w:tcPr>
          <w:p w14:paraId="27F57378"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0E5B8EB9"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DOM-Code recorded.</w:t>
            </w:r>
          </w:p>
        </w:tc>
        <w:tc>
          <w:tcPr>
            <w:tcW w:w="4973" w:type="dxa"/>
            <w:gridSpan w:val="2"/>
            <w:shd w:val="clear" w:color="auto" w:fill="auto"/>
            <w:tcMar>
              <w:top w:w="80" w:type="dxa"/>
              <w:left w:w="80" w:type="dxa"/>
              <w:bottom w:w="80" w:type="dxa"/>
              <w:right w:w="80" w:type="dxa"/>
            </w:tcMar>
          </w:tcPr>
          <w:p w14:paraId="697F17A9"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4BBBA109"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DOM-Code was used. N.B. When suburbs in both databases did not match, but were either (1) located within the CMDHB region OR (2) had the VDR location as within </w:t>
            </w:r>
            <w:r w:rsidRPr="0051741C">
              <w:rPr>
                <w:rFonts w:ascii="Times New Roman" w:hAnsi="Times New Roman" w:cs="Times New Roman"/>
                <w:sz w:val="20"/>
                <w:szCs w:val="20"/>
                <w:lang w:val="en-NZ"/>
              </w:rPr>
              <w:lastRenderedPageBreak/>
              <w:t>the CMDHB region, then the ‘geographical location’ was classified as the locality noted in the VDR. If the suburb noted in the VIP.net database was within the CMDHB region, but outside the CMDHB region in the VDR, then locality was classified as “No match”.</w:t>
            </w:r>
          </w:p>
        </w:tc>
      </w:tr>
      <w:tr w:rsidR="008C5AB7" w:rsidRPr="0051741C" w14:paraId="6AE7313D" w14:textId="77777777" w:rsidTr="0051741C">
        <w:trPr>
          <w:trHeight w:val="736"/>
        </w:trPr>
        <w:tc>
          <w:tcPr>
            <w:tcW w:w="2063" w:type="dxa"/>
            <w:shd w:val="clear" w:color="auto" w:fill="auto"/>
            <w:tcMar>
              <w:top w:w="80" w:type="dxa"/>
              <w:left w:w="80" w:type="dxa"/>
              <w:bottom w:w="80" w:type="dxa"/>
              <w:right w:w="80" w:type="dxa"/>
            </w:tcMar>
          </w:tcPr>
          <w:p w14:paraId="2575B9CB"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lastRenderedPageBreak/>
              <w:t>Age</w:t>
            </w:r>
          </w:p>
        </w:tc>
        <w:tc>
          <w:tcPr>
            <w:tcW w:w="4373" w:type="dxa"/>
            <w:shd w:val="clear" w:color="auto" w:fill="auto"/>
            <w:tcMar>
              <w:top w:w="80" w:type="dxa"/>
              <w:left w:w="80" w:type="dxa"/>
              <w:bottom w:w="80" w:type="dxa"/>
              <w:right w:w="80" w:type="dxa"/>
            </w:tcMar>
          </w:tcPr>
          <w:p w14:paraId="306577E4"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3FB522D2"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15 years and over as at 31/12/15.  </w:t>
            </w:r>
          </w:p>
        </w:tc>
        <w:tc>
          <w:tcPr>
            <w:tcW w:w="2637" w:type="dxa"/>
            <w:shd w:val="clear" w:color="auto" w:fill="auto"/>
            <w:tcMar>
              <w:top w:w="80" w:type="dxa"/>
              <w:left w:w="80" w:type="dxa"/>
              <w:bottom w:w="80" w:type="dxa"/>
              <w:right w:w="80" w:type="dxa"/>
            </w:tcMar>
          </w:tcPr>
          <w:p w14:paraId="2305A696"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2AD4893B"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All cases were aged 15 years and over. Age was adjusted to a common index-date of 31/12/15  </w:t>
            </w:r>
          </w:p>
        </w:tc>
        <w:tc>
          <w:tcPr>
            <w:tcW w:w="4973" w:type="dxa"/>
            <w:gridSpan w:val="2"/>
            <w:shd w:val="clear" w:color="auto" w:fill="auto"/>
            <w:tcMar>
              <w:top w:w="80" w:type="dxa"/>
              <w:left w:w="80" w:type="dxa"/>
              <w:bottom w:w="80" w:type="dxa"/>
              <w:right w:w="80" w:type="dxa"/>
            </w:tcMar>
          </w:tcPr>
          <w:p w14:paraId="36A173E0"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15 years and over  </w:t>
            </w:r>
          </w:p>
        </w:tc>
      </w:tr>
      <w:tr w:rsidR="008C5AB7" w:rsidRPr="0051741C" w14:paraId="0CC2C058" w14:textId="77777777" w:rsidTr="0051741C">
        <w:trPr>
          <w:trHeight w:val="321"/>
        </w:trPr>
        <w:tc>
          <w:tcPr>
            <w:tcW w:w="2063" w:type="dxa"/>
            <w:shd w:val="clear" w:color="auto" w:fill="auto"/>
            <w:tcMar>
              <w:top w:w="80" w:type="dxa"/>
              <w:left w:w="80" w:type="dxa"/>
              <w:bottom w:w="80" w:type="dxa"/>
              <w:right w:w="80" w:type="dxa"/>
            </w:tcMar>
          </w:tcPr>
          <w:p w14:paraId="4258DB55"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Gender</w:t>
            </w:r>
          </w:p>
        </w:tc>
        <w:tc>
          <w:tcPr>
            <w:tcW w:w="4373" w:type="dxa"/>
            <w:shd w:val="clear" w:color="auto" w:fill="auto"/>
            <w:tcMar>
              <w:top w:w="80" w:type="dxa"/>
              <w:left w:w="80" w:type="dxa"/>
              <w:bottom w:w="80" w:type="dxa"/>
              <w:right w:w="80" w:type="dxa"/>
            </w:tcMar>
          </w:tcPr>
          <w:p w14:paraId="65E3348D"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eastAsia="Arial Unicode MS" w:hAnsi="Times New Roman" w:cs="Times New Roman"/>
                <w:sz w:val="20"/>
                <w:szCs w:val="20"/>
                <w:lang w:val="en-NZ"/>
              </w:rPr>
              <w:t xml:space="preserve"> (M/F)</w:t>
            </w:r>
          </w:p>
        </w:tc>
        <w:tc>
          <w:tcPr>
            <w:tcW w:w="2637" w:type="dxa"/>
            <w:shd w:val="clear" w:color="auto" w:fill="auto"/>
            <w:tcMar>
              <w:top w:w="80" w:type="dxa"/>
              <w:left w:w="80" w:type="dxa"/>
              <w:bottom w:w="80" w:type="dxa"/>
              <w:right w:w="80" w:type="dxa"/>
            </w:tcMar>
          </w:tcPr>
          <w:p w14:paraId="5863FBE8"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eastAsia="Arial Unicode MS" w:hAnsi="Times New Roman" w:cs="Times New Roman"/>
                <w:sz w:val="20"/>
                <w:szCs w:val="20"/>
                <w:lang w:val="en-NZ"/>
              </w:rPr>
              <w:t xml:space="preserve"> (M/F/Unknown)</w:t>
            </w:r>
          </w:p>
        </w:tc>
        <w:tc>
          <w:tcPr>
            <w:tcW w:w="4973" w:type="dxa"/>
            <w:gridSpan w:val="2"/>
            <w:shd w:val="clear" w:color="auto" w:fill="auto"/>
            <w:tcMar>
              <w:top w:w="80" w:type="dxa"/>
              <w:left w:w="80" w:type="dxa"/>
              <w:bottom w:w="80" w:type="dxa"/>
              <w:right w:w="80" w:type="dxa"/>
            </w:tcMar>
          </w:tcPr>
          <w:p w14:paraId="0EC3E8B2"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eastAsia="Arial Unicode MS" w:hAnsi="Times New Roman" w:cs="Times New Roman"/>
                <w:sz w:val="20"/>
                <w:szCs w:val="20"/>
                <w:lang w:val="en-NZ"/>
              </w:rPr>
              <w:t xml:space="preserve"> (M/F)</w:t>
            </w:r>
          </w:p>
        </w:tc>
      </w:tr>
      <w:tr w:rsidR="008C5AB7" w:rsidRPr="0051741C" w14:paraId="02924287" w14:textId="77777777" w:rsidTr="0051741C">
        <w:trPr>
          <w:trHeight w:val="1241"/>
        </w:trPr>
        <w:tc>
          <w:tcPr>
            <w:tcW w:w="2063" w:type="dxa"/>
            <w:shd w:val="clear" w:color="auto" w:fill="auto"/>
            <w:tcMar>
              <w:top w:w="80" w:type="dxa"/>
              <w:left w:w="80" w:type="dxa"/>
              <w:bottom w:w="80" w:type="dxa"/>
              <w:right w:w="80" w:type="dxa"/>
            </w:tcMar>
          </w:tcPr>
          <w:p w14:paraId="2659B4FB"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Ethnicity</w:t>
            </w:r>
          </w:p>
        </w:tc>
        <w:tc>
          <w:tcPr>
            <w:tcW w:w="4373" w:type="dxa"/>
            <w:shd w:val="clear" w:color="auto" w:fill="auto"/>
            <w:tcMar>
              <w:top w:w="80" w:type="dxa"/>
              <w:left w:w="80" w:type="dxa"/>
              <w:bottom w:w="80" w:type="dxa"/>
              <w:right w:w="80" w:type="dxa"/>
            </w:tcMar>
          </w:tcPr>
          <w:p w14:paraId="5A80BFD3"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184BD5CD"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Self-identification of one ‘main’ ethnicity, plus additional ‘minor’ ethnicities. (15 categories for Pacific ethnicity including Fijian Indian).</w:t>
            </w:r>
          </w:p>
        </w:tc>
        <w:tc>
          <w:tcPr>
            <w:tcW w:w="2637" w:type="dxa"/>
            <w:shd w:val="clear" w:color="auto" w:fill="auto"/>
            <w:tcMar>
              <w:top w:w="80" w:type="dxa"/>
              <w:left w:w="80" w:type="dxa"/>
              <w:bottom w:w="80" w:type="dxa"/>
              <w:right w:w="80" w:type="dxa"/>
            </w:tcMar>
          </w:tcPr>
          <w:p w14:paraId="3055CC46"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668A791C" w14:textId="678E0F67" w:rsidR="008C5AB7" w:rsidRPr="0051741C" w:rsidRDefault="008C5AB7" w:rsidP="008C5AB7">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Ethnicity is based on records from health care services. Ministry Of Health (MOH) prioritized ethnicity -  Level 2 </w:t>
            </w:r>
            <w:proofErr w:type="gramStart"/>
            <w:r w:rsidRPr="0051741C">
              <w:rPr>
                <w:rFonts w:ascii="Times New Roman" w:hAnsi="Times New Roman" w:cs="Times New Roman"/>
                <w:sz w:val="20"/>
                <w:szCs w:val="20"/>
                <w:lang w:val="en-NZ"/>
              </w:rPr>
              <w:t>coding  for</w:t>
            </w:r>
            <w:proofErr w:type="gramEnd"/>
            <w:r w:rsidRPr="0051741C">
              <w:rPr>
                <w:rFonts w:ascii="Times New Roman" w:hAnsi="Times New Roman" w:cs="Times New Roman"/>
                <w:sz w:val="20"/>
                <w:szCs w:val="20"/>
                <w:lang w:val="en-NZ"/>
              </w:rPr>
              <w:t xml:space="preserve"> “Pacific peoples” </w:t>
            </w:r>
            <w:r w:rsidRPr="0051741C">
              <w:rPr>
                <w:rFonts w:ascii="Times New Roman" w:hAnsi="Times New Roman" w:cs="Times New Roman"/>
                <w:sz w:val="20"/>
                <w:szCs w:val="20"/>
                <w:lang w:val="en-NZ"/>
              </w:rPr>
              <w:lastRenderedPageBreak/>
              <w:t xml:space="preserve">used*. NB. Fijian Indian not included </w:t>
            </w:r>
          </w:p>
        </w:tc>
        <w:tc>
          <w:tcPr>
            <w:tcW w:w="4973" w:type="dxa"/>
            <w:gridSpan w:val="2"/>
            <w:shd w:val="clear" w:color="auto" w:fill="auto"/>
            <w:tcMar>
              <w:top w:w="80" w:type="dxa"/>
              <w:left w:w="80" w:type="dxa"/>
              <w:bottom w:w="80" w:type="dxa"/>
              <w:right w:w="80" w:type="dxa"/>
            </w:tcMar>
          </w:tcPr>
          <w:p w14:paraId="695525A6"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p>
        </w:tc>
      </w:tr>
      <w:tr w:rsidR="008C5AB7" w:rsidRPr="0051741C" w14:paraId="5F166BE4" w14:textId="77777777" w:rsidTr="0051741C">
        <w:trPr>
          <w:trHeight w:val="1473"/>
        </w:trPr>
        <w:tc>
          <w:tcPr>
            <w:tcW w:w="2063" w:type="dxa"/>
            <w:shd w:val="clear" w:color="auto" w:fill="auto"/>
            <w:tcMar>
              <w:top w:w="80" w:type="dxa"/>
              <w:left w:w="80" w:type="dxa"/>
              <w:bottom w:w="80" w:type="dxa"/>
              <w:right w:w="80" w:type="dxa"/>
            </w:tcMar>
          </w:tcPr>
          <w:p w14:paraId="400ED3C4"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lastRenderedPageBreak/>
              <w:t>Level of deprivation</w:t>
            </w:r>
          </w:p>
        </w:tc>
        <w:tc>
          <w:tcPr>
            <w:tcW w:w="4373" w:type="dxa"/>
            <w:shd w:val="clear" w:color="auto" w:fill="auto"/>
            <w:tcMar>
              <w:top w:w="80" w:type="dxa"/>
              <w:left w:w="80" w:type="dxa"/>
              <w:bottom w:w="80" w:type="dxa"/>
              <w:right w:w="80" w:type="dxa"/>
            </w:tcMar>
          </w:tcPr>
          <w:p w14:paraId="13DECBD1"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p w14:paraId="653DD196"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p>
        </w:tc>
        <w:tc>
          <w:tcPr>
            <w:tcW w:w="2637" w:type="dxa"/>
            <w:shd w:val="clear" w:color="auto" w:fill="auto"/>
            <w:tcMar>
              <w:top w:w="80" w:type="dxa"/>
              <w:left w:w="80" w:type="dxa"/>
              <w:bottom w:w="80" w:type="dxa"/>
              <w:right w:w="80" w:type="dxa"/>
            </w:tcMar>
          </w:tcPr>
          <w:p w14:paraId="0F9E5E55"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49959980" w14:textId="070F36F3"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 NZDep13 indicated through domicile code.</w:t>
            </w:r>
          </w:p>
          <w:p w14:paraId="0B2EAD4D"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The deprivation categories based on quintiles 1-5 i.e. Quantile 1 (least deprived), Quantile 5 (most deprived)</w:t>
            </w:r>
          </w:p>
        </w:tc>
        <w:tc>
          <w:tcPr>
            <w:tcW w:w="4973" w:type="dxa"/>
            <w:gridSpan w:val="2"/>
            <w:shd w:val="clear" w:color="auto" w:fill="auto"/>
            <w:tcMar>
              <w:top w:w="80" w:type="dxa"/>
              <w:left w:w="80" w:type="dxa"/>
              <w:bottom w:w="80" w:type="dxa"/>
              <w:right w:w="80" w:type="dxa"/>
            </w:tcMar>
          </w:tcPr>
          <w:p w14:paraId="18BB28BC"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tabs>
                <w:tab w:val="left" w:pos="2312"/>
              </w:tabs>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ab/>
            </w:r>
            <w:r w:rsidRPr="0051741C">
              <w:rPr>
                <w:rFonts w:ascii="Segoe UI Symbol" w:eastAsia="Arial Unicode MS" w:hAnsi="Segoe UI Symbol" w:cs="Segoe UI Symbol"/>
                <w:sz w:val="20"/>
                <w:szCs w:val="20"/>
                <w:lang w:val="en-NZ"/>
              </w:rPr>
              <w:t>✗</w:t>
            </w:r>
          </w:p>
        </w:tc>
      </w:tr>
      <w:tr w:rsidR="008C5AB7" w:rsidRPr="0051741C" w14:paraId="04E3F553" w14:textId="77777777" w:rsidTr="0051741C">
        <w:trPr>
          <w:trHeight w:val="161"/>
        </w:trPr>
        <w:tc>
          <w:tcPr>
            <w:tcW w:w="14046" w:type="dxa"/>
            <w:gridSpan w:val="5"/>
            <w:shd w:val="clear" w:color="auto" w:fill="auto"/>
            <w:tcMar>
              <w:top w:w="80" w:type="dxa"/>
              <w:left w:w="80" w:type="dxa"/>
              <w:bottom w:w="80" w:type="dxa"/>
              <w:right w:w="80" w:type="dxa"/>
            </w:tcMar>
          </w:tcPr>
          <w:p w14:paraId="7A36017C"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center"/>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Diabetes-related information</w:t>
            </w:r>
          </w:p>
        </w:tc>
      </w:tr>
      <w:tr w:rsidR="008C5AB7" w:rsidRPr="0051741C" w14:paraId="7DE77E80" w14:textId="77777777" w:rsidTr="0051741C">
        <w:trPr>
          <w:trHeight w:val="1020"/>
        </w:trPr>
        <w:tc>
          <w:tcPr>
            <w:tcW w:w="2063" w:type="dxa"/>
            <w:shd w:val="clear" w:color="auto" w:fill="auto"/>
            <w:tcMar>
              <w:top w:w="80" w:type="dxa"/>
              <w:left w:w="80" w:type="dxa"/>
              <w:bottom w:w="80" w:type="dxa"/>
              <w:right w:w="80" w:type="dxa"/>
            </w:tcMar>
          </w:tcPr>
          <w:p w14:paraId="38472D9F"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DM Diagnosis</w:t>
            </w:r>
          </w:p>
        </w:tc>
        <w:tc>
          <w:tcPr>
            <w:tcW w:w="4373" w:type="dxa"/>
            <w:shd w:val="clear" w:color="auto" w:fill="auto"/>
            <w:tcMar>
              <w:top w:w="80" w:type="dxa"/>
              <w:left w:w="80" w:type="dxa"/>
              <w:bottom w:w="80" w:type="dxa"/>
              <w:right w:w="80" w:type="dxa"/>
            </w:tcMar>
          </w:tcPr>
          <w:p w14:paraId="1DADF6A5"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35DBCF2A"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Made by GP/other health professional</w:t>
            </w:r>
          </w:p>
        </w:tc>
        <w:tc>
          <w:tcPr>
            <w:tcW w:w="2637" w:type="dxa"/>
            <w:shd w:val="clear" w:color="auto" w:fill="auto"/>
            <w:tcMar>
              <w:top w:w="80" w:type="dxa"/>
              <w:left w:w="80" w:type="dxa"/>
              <w:bottom w:w="80" w:type="dxa"/>
              <w:right w:w="80" w:type="dxa"/>
            </w:tcMar>
          </w:tcPr>
          <w:p w14:paraId="4CA75314"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4A2AF16B"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Estimated by linking datasets (HbA1c, out-patient-referral, retinal screening, pharmacy dispensing)</w:t>
            </w:r>
          </w:p>
        </w:tc>
        <w:tc>
          <w:tcPr>
            <w:tcW w:w="4973" w:type="dxa"/>
            <w:gridSpan w:val="2"/>
            <w:shd w:val="clear" w:color="auto" w:fill="auto"/>
            <w:tcMar>
              <w:top w:w="80" w:type="dxa"/>
              <w:left w:w="80" w:type="dxa"/>
              <w:bottom w:w="80" w:type="dxa"/>
              <w:right w:w="80" w:type="dxa"/>
            </w:tcMar>
          </w:tcPr>
          <w:p w14:paraId="6C7C76D3"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r>
      <w:tr w:rsidR="008C5AB7" w:rsidRPr="0051741C" w14:paraId="7BCFD97E" w14:textId="77777777" w:rsidTr="0051741C">
        <w:trPr>
          <w:trHeight w:val="333"/>
        </w:trPr>
        <w:tc>
          <w:tcPr>
            <w:tcW w:w="2063" w:type="dxa"/>
            <w:shd w:val="clear" w:color="auto" w:fill="auto"/>
            <w:tcMar>
              <w:top w:w="80" w:type="dxa"/>
              <w:left w:w="80" w:type="dxa"/>
              <w:bottom w:w="80" w:type="dxa"/>
              <w:right w:w="80" w:type="dxa"/>
            </w:tcMar>
          </w:tcPr>
          <w:p w14:paraId="34ECEC76"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Type of DM</w:t>
            </w:r>
          </w:p>
        </w:tc>
        <w:tc>
          <w:tcPr>
            <w:tcW w:w="4373" w:type="dxa"/>
            <w:shd w:val="clear" w:color="auto" w:fill="auto"/>
            <w:tcMar>
              <w:top w:w="80" w:type="dxa"/>
              <w:left w:w="80" w:type="dxa"/>
              <w:bottom w:w="80" w:type="dxa"/>
              <w:right w:w="80" w:type="dxa"/>
            </w:tcMar>
          </w:tcPr>
          <w:p w14:paraId="00383D5E"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0896F21A"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lastRenderedPageBreak/>
              <w:t>T1D, T2D, Gestational DM, Other (e.g.  steroid-induced DM)</w:t>
            </w:r>
          </w:p>
        </w:tc>
        <w:tc>
          <w:tcPr>
            <w:tcW w:w="2637" w:type="dxa"/>
            <w:shd w:val="clear" w:color="auto" w:fill="auto"/>
            <w:tcMar>
              <w:top w:w="80" w:type="dxa"/>
              <w:left w:w="80" w:type="dxa"/>
              <w:bottom w:w="80" w:type="dxa"/>
              <w:right w:w="80" w:type="dxa"/>
            </w:tcMar>
          </w:tcPr>
          <w:p w14:paraId="21D296B5"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lastRenderedPageBreak/>
              <w:t>✗</w:t>
            </w:r>
            <w:r w:rsidRPr="0051741C">
              <w:rPr>
                <w:rFonts w:ascii="Times New Roman" w:hAnsi="Times New Roman" w:cs="Times New Roman"/>
                <w:sz w:val="20"/>
                <w:szCs w:val="20"/>
                <w:lang w:val="en-NZ"/>
              </w:rPr>
              <w:t xml:space="preserve"> </w:t>
            </w:r>
          </w:p>
        </w:tc>
        <w:tc>
          <w:tcPr>
            <w:tcW w:w="2784" w:type="dxa"/>
            <w:shd w:val="clear" w:color="auto" w:fill="auto"/>
            <w:tcMar>
              <w:top w:w="80" w:type="dxa"/>
              <w:left w:w="80" w:type="dxa"/>
              <w:bottom w:w="80" w:type="dxa"/>
              <w:right w:w="80" w:type="dxa"/>
            </w:tcMar>
          </w:tcPr>
          <w:p w14:paraId="26EC55A5"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c>
          <w:tcPr>
            <w:tcW w:w="2189" w:type="dxa"/>
            <w:shd w:val="clear" w:color="auto" w:fill="auto"/>
            <w:tcMar>
              <w:top w:w="80" w:type="dxa"/>
              <w:left w:w="80" w:type="dxa"/>
              <w:bottom w:w="80" w:type="dxa"/>
              <w:right w:w="80" w:type="dxa"/>
            </w:tcMar>
          </w:tcPr>
          <w:p w14:paraId="539E5280"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tc>
      </w:tr>
      <w:tr w:rsidR="008C5AB7" w:rsidRPr="0051741C" w14:paraId="130C4834" w14:textId="77777777" w:rsidTr="0051741C">
        <w:trPr>
          <w:trHeight w:val="990"/>
        </w:trPr>
        <w:tc>
          <w:tcPr>
            <w:tcW w:w="2063" w:type="dxa"/>
            <w:shd w:val="clear" w:color="auto" w:fill="auto"/>
            <w:tcMar>
              <w:top w:w="80" w:type="dxa"/>
              <w:left w:w="80" w:type="dxa"/>
              <w:bottom w:w="80" w:type="dxa"/>
              <w:right w:w="80" w:type="dxa"/>
            </w:tcMar>
          </w:tcPr>
          <w:p w14:paraId="6FD7A8F6"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lastRenderedPageBreak/>
              <w:t>Duration with DM</w:t>
            </w:r>
          </w:p>
        </w:tc>
        <w:tc>
          <w:tcPr>
            <w:tcW w:w="4373" w:type="dxa"/>
            <w:shd w:val="clear" w:color="auto" w:fill="auto"/>
            <w:tcMar>
              <w:top w:w="80" w:type="dxa"/>
              <w:left w:w="80" w:type="dxa"/>
              <w:bottom w:w="80" w:type="dxa"/>
              <w:right w:w="80" w:type="dxa"/>
            </w:tcMar>
          </w:tcPr>
          <w:p w14:paraId="3F79DEAD"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41606FAF"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Predicted duration (years) by health professional as at 31/12/15 based on age of diagnosis, severity at last examination and presence of risk factors.  </w:t>
            </w:r>
          </w:p>
        </w:tc>
        <w:tc>
          <w:tcPr>
            <w:tcW w:w="2637" w:type="dxa"/>
            <w:shd w:val="clear" w:color="auto" w:fill="auto"/>
            <w:tcMar>
              <w:top w:w="80" w:type="dxa"/>
              <w:left w:w="80" w:type="dxa"/>
              <w:bottom w:w="80" w:type="dxa"/>
              <w:right w:w="80" w:type="dxa"/>
            </w:tcMar>
          </w:tcPr>
          <w:p w14:paraId="2BA96870"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1D185EB1" w14:textId="77777777" w:rsidR="008C5AB7" w:rsidRPr="0051741C" w:rsidRDefault="008C5AB7" w:rsidP="0060707A">
            <w:pPr>
              <w:pStyle w:val="Style1"/>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Fonts w:ascii="Times New Roman" w:hAnsi="Times New Roman" w:cs="Times New Roman"/>
                <w:lang w:val="en-NZ"/>
              </w:rPr>
            </w:pPr>
            <w:r w:rsidRPr="0051741C">
              <w:rPr>
                <w:rFonts w:ascii="Times New Roman" w:hAnsi="Times New Roman" w:cs="Times New Roman"/>
                <w:lang w:val="en-NZ"/>
              </w:rPr>
              <w:t>First “diagnosis” date detected (i.e. first inpatient/ outpatient/ labs/ pharmacy date). Adjusted to the date 31</w:t>
            </w:r>
            <w:r w:rsidRPr="0051741C">
              <w:rPr>
                <w:rFonts w:ascii="Times New Roman" w:hAnsi="Times New Roman" w:cs="Times New Roman"/>
                <w:vertAlign w:val="superscript"/>
                <w:lang w:val="en-NZ"/>
              </w:rPr>
              <w:t>st</w:t>
            </w:r>
            <w:r w:rsidRPr="0051741C">
              <w:rPr>
                <w:rFonts w:ascii="Times New Roman" w:hAnsi="Times New Roman" w:cs="Times New Roman"/>
                <w:lang w:val="en-NZ"/>
              </w:rPr>
              <w:t xml:space="preserve"> December 2015.  </w:t>
            </w:r>
          </w:p>
        </w:tc>
        <w:tc>
          <w:tcPr>
            <w:tcW w:w="4973" w:type="dxa"/>
            <w:gridSpan w:val="2"/>
            <w:shd w:val="clear" w:color="auto" w:fill="auto"/>
            <w:tcMar>
              <w:top w:w="80" w:type="dxa"/>
              <w:left w:w="80" w:type="dxa"/>
              <w:bottom w:w="80" w:type="dxa"/>
              <w:right w:w="80" w:type="dxa"/>
            </w:tcMar>
          </w:tcPr>
          <w:p w14:paraId="4AF56326"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42E98125" w14:textId="77777777" w:rsidR="008C5AB7" w:rsidRPr="0051741C" w:rsidRDefault="008C5AB7" w:rsidP="0060707A">
            <w:pPr>
              <w:pStyle w:val="Style1"/>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Fonts w:ascii="Times New Roman" w:hAnsi="Times New Roman" w:cs="Times New Roman"/>
                <w:lang w:val="en-NZ"/>
              </w:rPr>
            </w:pPr>
            <w:r w:rsidRPr="0051741C">
              <w:rPr>
                <w:rFonts w:ascii="Times New Roman" w:hAnsi="Times New Roman" w:cs="Times New Roman"/>
                <w:lang w:val="en-NZ"/>
              </w:rPr>
              <w:t xml:space="preserve">The maximum duration out of the two estimated in the VIP.net and VDR was selected. </w:t>
            </w:r>
          </w:p>
        </w:tc>
      </w:tr>
      <w:tr w:rsidR="008C5AB7" w:rsidRPr="0051741C" w14:paraId="3AD66CC5" w14:textId="77777777" w:rsidTr="0051741C">
        <w:trPr>
          <w:trHeight w:val="221"/>
        </w:trPr>
        <w:tc>
          <w:tcPr>
            <w:tcW w:w="14046" w:type="dxa"/>
            <w:gridSpan w:val="5"/>
            <w:shd w:val="clear" w:color="auto" w:fill="auto"/>
            <w:tcMar>
              <w:top w:w="80" w:type="dxa"/>
              <w:left w:w="80" w:type="dxa"/>
              <w:bottom w:w="80" w:type="dxa"/>
              <w:right w:w="80" w:type="dxa"/>
            </w:tcMar>
          </w:tcPr>
          <w:p w14:paraId="593AAB9C" w14:textId="77777777" w:rsidR="008C5AB7" w:rsidRPr="0051741C" w:rsidRDefault="008C5AB7" w:rsidP="0060707A">
            <w:pPr>
              <w:pStyle w:val="Style1"/>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center"/>
              <w:rPr>
                <w:rFonts w:ascii="Times New Roman" w:hAnsi="Times New Roman" w:cs="Times New Roman"/>
                <w:lang w:val="en-NZ"/>
              </w:rPr>
            </w:pPr>
            <w:r w:rsidRPr="0051741C">
              <w:rPr>
                <w:rFonts w:ascii="Times New Roman" w:hAnsi="Times New Roman" w:cs="Times New Roman"/>
                <w:b/>
                <w:bCs/>
                <w:caps/>
                <w:lang w:val="en-NZ"/>
              </w:rPr>
              <w:t>Diabetic retinopathy related variables</w:t>
            </w:r>
          </w:p>
        </w:tc>
      </w:tr>
      <w:tr w:rsidR="008C5AB7" w:rsidRPr="0051741C" w14:paraId="6A618B63" w14:textId="77777777" w:rsidTr="0051741C">
        <w:trPr>
          <w:trHeight w:val="1133"/>
        </w:trPr>
        <w:tc>
          <w:tcPr>
            <w:tcW w:w="2063" w:type="dxa"/>
            <w:shd w:val="clear" w:color="auto" w:fill="auto"/>
            <w:tcMar>
              <w:top w:w="80" w:type="dxa"/>
              <w:left w:w="80" w:type="dxa"/>
              <w:bottom w:w="80" w:type="dxa"/>
              <w:right w:w="80" w:type="dxa"/>
            </w:tcMar>
          </w:tcPr>
          <w:p w14:paraId="4F178706"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 xml:space="preserve">Retinal Screening </w:t>
            </w:r>
          </w:p>
        </w:tc>
        <w:tc>
          <w:tcPr>
            <w:tcW w:w="4373" w:type="dxa"/>
            <w:shd w:val="clear" w:color="auto" w:fill="auto"/>
            <w:tcMar>
              <w:top w:w="80" w:type="dxa"/>
              <w:left w:w="80" w:type="dxa"/>
              <w:bottom w:w="80" w:type="dxa"/>
              <w:right w:w="80" w:type="dxa"/>
            </w:tcMar>
          </w:tcPr>
          <w:p w14:paraId="54A3D9A1"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2CE0D745"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No specific ‘retinal screened’ variable in the VIP.net database. An assumption was made that if an individual was referred to CMDHB Ophthalmology clinics and attended the clinic, then retinal screening occurred.</w:t>
            </w:r>
          </w:p>
        </w:tc>
        <w:tc>
          <w:tcPr>
            <w:tcW w:w="2637" w:type="dxa"/>
            <w:shd w:val="clear" w:color="auto" w:fill="auto"/>
            <w:tcMar>
              <w:top w:w="80" w:type="dxa"/>
              <w:left w:w="80" w:type="dxa"/>
              <w:bottom w:w="80" w:type="dxa"/>
              <w:right w:w="80" w:type="dxa"/>
            </w:tcMar>
          </w:tcPr>
          <w:p w14:paraId="48AF4D7B"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083C323E" w14:textId="428A017A" w:rsidR="008C5AB7" w:rsidRPr="0051741C" w:rsidRDefault="008C5AB7" w:rsidP="0051741C">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Counts of screens in the last two years examined. Based on DR screening purchase unit code</w:t>
            </w:r>
            <w:r w:rsidR="0051741C">
              <w:rPr>
                <w:rFonts w:ascii="Times New Roman" w:hAnsi="Times New Roman" w:cs="Times New Roman"/>
                <w:sz w:val="20"/>
                <w:szCs w:val="20"/>
                <w:lang w:val="en-NZ"/>
              </w:rPr>
              <w:t xml:space="preserve"> [21]</w:t>
            </w:r>
          </w:p>
        </w:tc>
        <w:tc>
          <w:tcPr>
            <w:tcW w:w="4973" w:type="dxa"/>
            <w:gridSpan w:val="2"/>
            <w:shd w:val="clear" w:color="auto" w:fill="auto"/>
            <w:tcMar>
              <w:top w:w="80" w:type="dxa"/>
              <w:left w:w="80" w:type="dxa"/>
              <w:bottom w:w="80" w:type="dxa"/>
              <w:right w:w="80" w:type="dxa"/>
            </w:tcMar>
          </w:tcPr>
          <w:p w14:paraId="08601DBD"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r>
      <w:tr w:rsidR="008C5AB7" w:rsidRPr="0051741C" w14:paraId="2212CCDA" w14:textId="77777777" w:rsidTr="0051741C">
        <w:trPr>
          <w:trHeight w:val="1269"/>
        </w:trPr>
        <w:tc>
          <w:tcPr>
            <w:tcW w:w="2063" w:type="dxa"/>
            <w:shd w:val="clear" w:color="auto" w:fill="auto"/>
            <w:tcMar>
              <w:top w:w="80" w:type="dxa"/>
              <w:left w:w="80" w:type="dxa"/>
              <w:bottom w:w="80" w:type="dxa"/>
              <w:right w:w="80" w:type="dxa"/>
            </w:tcMar>
          </w:tcPr>
          <w:p w14:paraId="3B2D49DB"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lastRenderedPageBreak/>
              <w:t>DR GRADE</w:t>
            </w:r>
          </w:p>
          <w:p w14:paraId="537717D2"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p w14:paraId="1AD9B526"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p w14:paraId="2D072ED3"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tc>
        <w:tc>
          <w:tcPr>
            <w:tcW w:w="4373" w:type="dxa"/>
            <w:shd w:val="clear" w:color="auto" w:fill="auto"/>
            <w:tcMar>
              <w:top w:w="80" w:type="dxa"/>
              <w:left w:w="80" w:type="dxa"/>
              <w:bottom w:w="80" w:type="dxa"/>
              <w:right w:w="80" w:type="dxa"/>
            </w:tcMar>
          </w:tcPr>
          <w:p w14:paraId="079C1B17"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328CF21F" w14:textId="7B8AD126" w:rsidR="008C5AB7" w:rsidRPr="0051741C" w:rsidRDefault="008C5AB7" w:rsidP="0051741C">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spacing w:after="200" w:line="480" w:lineRule="auto"/>
              <w:rPr>
                <w:rFonts w:ascii="Times New Roman" w:hAnsi="Times New Roman" w:cs="Times New Roman"/>
                <w:sz w:val="20"/>
                <w:szCs w:val="20"/>
                <w:lang w:val="en-NZ"/>
              </w:rPr>
            </w:pPr>
            <w:r w:rsidRPr="0051741C">
              <w:rPr>
                <w:rFonts w:ascii="Times New Roman" w:hAnsi="Times New Roman" w:cs="Times New Roman"/>
                <w:sz w:val="20"/>
                <w:szCs w:val="20"/>
                <w:lang w:val="en-NZ"/>
              </w:rPr>
              <w:t>As per the Grading categories: R0=no DR, R1=minimal DR, R2=mild DR, R3=moderate DR, R4=severe DR, R5=proliferative DR and R6=advanced DR)</w:t>
            </w:r>
            <w:r w:rsidR="0051741C">
              <w:rPr>
                <w:rFonts w:ascii="Times New Roman" w:hAnsi="Times New Roman" w:cs="Times New Roman"/>
                <w:sz w:val="20"/>
                <w:szCs w:val="20"/>
                <w:lang w:val="en-NZ"/>
              </w:rPr>
              <w:t xml:space="preserve"> [23]</w:t>
            </w:r>
            <w:r w:rsidRPr="0051741C">
              <w:rPr>
                <w:rFonts w:ascii="Times New Roman" w:hAnsi="Times New Roman" w:cs="Times New Roman"/>
                <w:sz w:val="20"/>
                <w:szCs w:val="20"/>
                <w:lang w:val="en-NZ"/>
              </w:rPr>
              <w:t>. In cases where the screening result differed between eyes, the higher grade of the two was used.</w:t>
            </w:r>
          </w:p>
        </w:tc>
        <w:tc>
          <w:tcPr>
            <w:tcW w:w="2637" w:type="dxa"/>
            <w:shd w:val="clear" w:color="auto" w:fill="auto"/>
            <w:tcMar>
              <w:top w:w="80" w:type="dxa"/>
              <w:left w:w="80" w:type="dxa"/>
              <w:bottom w:w="80" w:type="dxa"/>
              <w:right w:w="80" w:type="dxa"/>
            </w:tcMar>
          </w:tcPr>
          <w:p w14:paraId="64316F8B"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p w14:paraId="579110FE"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p w14:paraId="7345D6E2"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p w14:paraId="59518A8B"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p w14:paraId="283CECCF" w14:textId="77777777" w:rsidR="008C5AB7" w:rsidRPr="0051741C" w:rsidRDefault="008C5AB7" w:rsidP="0060707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tc>
        <w:tc>
          <w:tcPr>
            <w:tcW w:w="4973" w:type="dxa"/>
            <w:gridSpan w:val="2"/>
            <w:shd w:val="clear" w:color="auto" w:fill="auto"/>
            <w:tcMar>
              <w:top w:w="80" w:type="dxa"/>
              <w:left w:w="80" w:type="dxa"/>
              <w:bottom w:w="80" w:type="dxa"/>
              <w:right w:w="80" w:type="dxa"/>
            </w:tcMar>
          </w:tcPr>
          <w:p w14:paraId="445593C5"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tabs>
                <w:tab w:val="left" w:pos="2312"/>
              </w:tabs>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r>
      <w:tr w:rsidR="008C5AB7" w:rsidRPr="0051741C" w14:paraId="477C7D3D" w14:textId="77777777" w:rsidTr="0051741C">
        <w:trPr>
          <w:trHeight w:val="220"/>
        </w:trPr>
        <w:tc>
          <w:tcPr>
            <w:tcW w:w="2063" w:type="dxa"/>
            <w:shd w:val="clear" w:color="auto" w:fill="auto"/>
            <w:tcMar>
              <w:top w:w="80" w:type="dxa"/>
              <w:left w:w="80" w:type="dxa"/>
              <w:bottom w:w="80" w:type="dxa"/>
              <w:right w:w="80" w:type="dxa"/>
            </w:tcMar>
          </w:tcPr>
          <w:p w14:paraId="46498A55"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b/>
                <w:bCs/>
                <w:caps/>
                <w:sz w:val="20"/>
                <w:szCs w:val="20"/>
                <w:lang w:val="en-NZ"/>
              </w:rPr>
            </w:pPr>
            <w:r w:rsidRPr="0051741C">
              <w:rPr>
                <w:rFonts w:ascii="Times New Roman" w:hAnsi="Times New Roman" w:cs="Times New Roman"/>
                <w:b/>
                <w:bCs/>
                <w:caps/>
                <w:sz w:val="20"/>
                <w:szCs w:val="20"/>
                <w:lang w:val="en-NZ"/>
              </w:rPr>
              <w:t>Treatment for retinopathy</w:t>
            </w:r>
          </w:p>
        </w:tc>
        <w:tc>
          <w:tcPr>
            <w:tcW w:w="4373" w:type="dxa"/>
            <w:shd w:val="clear" w:color="auto" w:fill="auto"/>
            <w:tcMar>
              <w:top w:w="80" w:type="dxa"/>
              <w:left w:w="80" w:type="dxa"/>
              <w:bottom w:w="80" w:type="dxa"/>
              <w:right w:w="80" w:type="dxa"/>
            </w:tcMar>
          </w:tcPr>
          <w:p w14:paraId="0E4CAF21"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b/>
                <w:bCs/>
                <w:caps/>
                <w:sz w:val="20"/>
                <w:szCs w:val="20"/>
                <w:lang w:val="en-NZ"/>
              </w:rPr>
            </w:pPr>
            <w:r w:rsidRPr="0051741C">
              <w:rPr>
                <w:rFonts w:ascii="Segoe UI Symbol" w:eastAsia="Arial Unicode MS" w:hAnsi="Segoe UI Symbol" w:cs="Segoe UI Symbol"/>
                <w:sz w:val="20"/>
                <w:szCs w:val="20"/>
                <w:lang w:val="en-NZ"/>
              </w:rPr>
              <w:t>✓</w:t>
            </w:r>
          </w:p>
        </w:tc>
        <w:tc>
          <w:tcPr>
            <w:tcW w:w="2637" w:type="dxa"/>
            <w:shd w:val="clear" w:color="auto" w:fill="auto"/>
            <w:tcMar>
              <w:top w:w="80" w:type="dxa"/>
              <w:left w:w="80" w:type="dxa"/>
              <w:bottom w:w="80" w:type="dxa"/>
              <w:right w:w="80" w:type="dxa"/>
            </w:tcMar>
          </w:tcPr>
          <w:p w14:paraId="2EE74D12"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b/>
                <w:bCs/>
                <w:caps/>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tc>
        <w:tc>
          <w:tcPr>
            <w:tcW w:w="4973" w:type="dxa"/>
            <w:gridSpan w:val="2"/>
            <w:shd w:val="clear" w:color="auto" w:fill="auto"/>
            <w:tcMar>
              <w:top w:w="80" w:type="dxa"/>
              <w:left w:w="80" w:type="dxa"/>
              <w:bottom w:w="80" w:type="dxa"/>
              <w:right w:w="80" w:type="dxa"/>
            </w:tcMar>
          </w:tcPr>
          <w:p w14:paraId="7A847B56"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tabs>
                <w:tab w:val="left" w:pos="2312"/>
              </w:tabs>
              <w:spacing w:after="0" w:line="480" w:lineRule="auto"/>
              <w:jc w:val="left"/>
              <w:rPr>
                <w:rFonts w:ascii="Times New Roman" w:hAnsi="Times New Roman" w:cs="Times New Roman"/>
                <w:b/>
                <w:bCs/>
                <w:caps/>
                <w:sz w:val="20"/>
                <w:szCs w:val="20"/>
                <w:lang w:val="en-NZ"/>
              </w:rPr>
            </w:pPr>
            <w:r w:rsidRPr="0051741C">
              <w:rPr>
                <w:rFonts w:ascii="Segoe UI Symbol" w:eastAsia="Arial Unicode MS" w:hAnsi="Segoe UI Symbol" w:cs="Segoe UI Symbol"/>
                <w:sz w:val="20"/>
                <w:szCs w:val="20"/>
                <w:lang w:val="en-NZ"/>
              </w:rPr>
              <w:t>✗</w:t>
            </w:r>
          </w:p>
        </w:tc>
      </w:tr>
      <w:tr w:rsidR="008C5AB7" w:rsidRPr="0051741C" w14:paraId="362C4F19" w14:textId="77777777" w:rsidTr="0051741C">
        <w:trPr>
          <w:trHeight w:val="190"/>
        </w:trPr>
        <w:tc>
          <w:tcPr>
            <w:tcW w:w="2063" w:type="dxa"/>
            <w:shd w:val="clear" w:color="auto" w:fill="auto"/>
            <w:tcMar>
              <w:top w:w="80" w:type="dxa"/>
              <w:left w:w="80" w:type="dxa"/>
              <w:bottom w:w="80" w:type="dxa"/>
              <w:right w:w="80" w:type="dxa"/>
            </w:tcMar>
          </w:tcPr>
          <w:p w14:paraId="0DDD75B0"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Insulin</w:t>
            </w:r>
          </w:p>
        </w:tc>
        <w:tc>
          <w:tcPr>
            <w:tcW w:w="4373" w:type="dxa"/>
            <w:shd w:val="clear" w:color="auto" w:fill="auto"/>
            <w:tcMar>
              <w:top w:w="80" w:type="dxa"/>
              <w:left w:w="80" w:type="dxa"/>
              <w:bottom w:w="80" w:type="dxa"/>
              <w:right w:w="80" w:type="dxa"/>
            </w:tcMar>
          </w:tcPr>
          <w:p w14:paraId="03F8A354"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749E7E71"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prescribed</w:t>
            </w:r>
          </w:p>
        </w:tc>
        <w:tc>
          <w:tcPr>
            <w:tcW w:w="2637" w:type="dxa"/>
            <w:shd w:val="clear" w:color="auto" w:fill="auto"/>
            <w:tcMar>
              <w:top w:w="80" w:type="dxa"/>
              <w:left w:w="80" w:type="dxa"/>
              <w:bottom w:w="80" w:type="dxa"/>
              <w:right w:w="80" w:type="dxa"/>
            </w:tcMar>
          </w:tcPr>
          <w:p w14:paraId="7F65A657"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79AB4A05"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 xml:space="preserve">dispensed </w:t>
            </w:r>
          </w:p>
        </w:tc>
        <w:tc>
          <w:tcPr>
            <w:tcW w:w="4973" w:type="dxa"/>
            <w:gridSpan w:val="2"/>
            <w:shd w:val="clear" w:color="auto" w:fill="auto"/>
            <w:tcMar>
              <w:top w:w="80" w:type="dxa"/>
              <w:left w:w="80" w:type="dxa"/>
              <w:bottom w:w="80" w:type="dxa"/>
              <w:right w:w="80" w:type="dxa"/>
            </w:tcMar>
          </w:tcPr>
          <w:p w14:paraId="3B4389BE"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eastAsia="Arial Unicode MS"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29081577"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tabs>
                <w:tab w:val="left" w:pos="2312"/>
              </w:tabs>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prescribed and dispensed</w:t>
            </w:r>
          </w:p>
        </w:tc>
      </w:tr>
      <w:tr w:rsidR="008C5AB7" w:rsidRPr="0051741C" w14:paraId="2B02A460" w14:textId="77777777" w:rsidTr="0051741C">
        <w:trPr>
          <w:trHeight w:val="190"/>
        </w:trPr>
        <w:tc>
          <w:tcPr>
            <w:tcW w:w="2063" w:type="dxa"/>
            <w:shd w:val="clear" w:color="auto" w:fill="auto"/>
            <w:tcMar>
              <w:top w:w="80" w:type="dxa"/>
              <w:left w:w="80" w:type="dxa"/>
              <w:bottom w:w="80" w:type="dxa"/>
              <w:right w:w="80" w:type="dxa"/>
            </w:tcMar>
          </w:tcPr>
          <w:p w14:paraId="5CE335E4"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Oral diabetes medication</w:t>
            </w:r>
          </w:p>
        </w:tc>
        <w:tc>
          <w:tcPr>
            <w:tcW w:w="4373" w:type="dxa"/>
            <w:shd w:val="clear" w:color="auto" w:fill="auto"/>
            <w:tcMar>
              <w:top w:w="80" w:type="dxa"/>
              <w:left w:w="80" w:type="dxa"/>
              <w:bottom w:w="80" w:type="dxa"/>
              <w:right w:w="80" w:type="dxa"/>
            </w:tcMar>
          </w:tcPr>
          <w:p w14:paraId="1397546E"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2F8EC951"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prescribed</w:t>
            </w:r>
          </w:p>
        </w:tc>
        <w:tc>
          <w:tcPr>
            <w:tcW w:w="2637" w:type="dxa"/>
            <w:shd w:val="clear" w:color="auto" w:fill="auto"/>
            <w:tcMar>
              <w:top w:w="80" w:type="dxa"/>
              <w:left w:w="80" w:type="dxa"/>
              <w:bottom w:w="80" w:type="dxa"/>
              <w:right w:w="80" w:type="dxa"/>
            </w:tcMar>
          </w:tcPr>
          <w:p w14:paraId="13CDFB99"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6039E7E2"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dispensed</w:t>
            </w:r>
          </w:p>
        </w:tc>
        <w:tc>
          <w:tcPr>
            <w:tcW w:w="4973" w:type="dxa"/>
            <w:gridSpan w:val="2"/>
            <w:shd w:val="clear" w:color="auto" w:fill="auto"/>
            <w:tcMar>
              <w:top w:w="80" w:type="dxa"/>
              <w:left w:w="80" w:type="dxa"/>
              <w:bottom w:w="80" w:type="dxa"/>
              <w:right w:w="80" w:type="dxa"/>
            </w:tcMar>
          </w:tcPr>
          <w:p w14:paraId="2881B7FF"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eastAsia="Arial Unicode MS"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137C84E3"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tabs>
                <w:tab w:val="left" w:pos="2312"/>
              </w:tabs>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prescribed and dispensed</w:t>
            </w:r>
          </w:p>
        </w:tc>
      </w:tr>
      <w:tr w:rsidR="008C5AB7" w:rsidRPr="0051741C" w14:paraId="238FB9B8" w14:textId="77777777" w:rsidTr="0051741C">
        <w:trPr>
          <w:trHeight w:val="265"/>
        </w:trPr>
        <w:tc>
          <w:tcPr>
            <w:tcW w:w="2063" w:type="dxa"/>
            <w:shd w:val="clear" w:color="auto" w:fill="auto"/>
            <w:tcMar>
              <w:top w:w="80" w:type="dxa"/>
              <w:left w:w="80" w:type="dxa"/>
              <w:bottom w:w="80" w:type="dxa"/>
              <w:right w:w="80" w:type="dxa"/>
            </w:tcMar>
          </w:tcPr>
          <w:p w14:paraId="1F68BB49"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Diet MANAGEMENT alone</w:t>
            </w:r>
          </w:p>
        </w:tc>
        <w:tc>
          <w:tcPr>
            <w:tcW w:w="4373" w:type="dxa"/>
            <w:shd w:val="clear" w:color="auto" w:fill="auto"/>
            <w:tcMar>
              <w:top w:w="80" w:type="dxa"/>
              <w:left w:w="80" w:type="dxa"/>
              <w:bottom w:w="80" w:type="dxa"/>
              <w:right w:w="80" w:type="dxa"/>
            </w:tcMar>
          </w:tcPr>
          <w:p w14:paraId="0FE5B325"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c>
          <w:tcPr>
            <w:tcW w:w="2637" w:type="dxa"/>
            <w:shd w:val="clear" w:color="auto" w:fill="auto"/>
            <w:tcMar>
              <w:top w:w="80" w:type="dxa"/>
              <w:left w:w="80" w:type="dxa"/>
              <w:bottom w:w="80" w:type="dxa"/>
              <w:right w:w="80" w:type="dxa"/>
            </w:tcMar>
          </w:tcPr>
          <w:p w14:paraId="7A163AD3"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c>
          <w:tcPr>
            <w:tcW w:w="4973" w:type="dxa"/>
            <w:gridSpan w:val="2"/>
            <w:shd w:val="clear" w:color="auto" w:fill="auto"/>
            <w:tcMar>
              <w:top w:w="80" w:type="dxa"/>
              <w:left w:w="80" w:type="dxa"/>
              <w:bottom w:w="80" w:type="dxa"/>
              <w:right w:w="80" w:type="dxa"/>
            </w:tcMar>
          </w:tcPr>
          <w:p w14:paraId="41DBAD2F"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r>
      <w:tr w:rsidR="008C5AB7" w:rsidRPr="0051741C" w14:paraId="23E823E9" w14:textId="77777777" w:rsidTr="0051741C">
        <w:trPr>
          <w:trHeight w:val="258"/>
        </w:trPr>
        <w:tc>
          <w:tcPr>
            <w:tcW w:w="2063" w:type="dxa"/>
            <w:shd w:val="clear" w:color="auto" w:fill="auto"/>
            <w:tcMar>
              <w:top w:w="80" w:type="dxa"/>
              <w:left w:w="80" w:type="dxa"/>
              <w:bottom w:w="80" w:type="dxa"/>
              <w:right w:w="80" w:type="dxa"/>
            </w:tcMar>
          </w:tcPr>
          <w:p w14:paraId="5BD492EC"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lastRenderedPageBreak/>
              <w:t>HbA1c level</w:t>
            </w:r>
          </w:p>
        </w:tc>
        <w:tc>
          <w:tcPr>
            <w:tcW w:w="4373" w:type="dxa"/>
            <w:shd w:val="clear" w:color="auto" w:fill="auto"/>
            <w:tcMar>
              <w:top w:w="80" w:type="dxa"/>
              <w:left w:w="80" w:type="dxa"/>
              <w:bottom w:w="80" w:type="dxa"/>
              <w:right w:w="80" w:type="dxa"/>
            </w:tcMar>
          </w:tcPr>
          <w:p w14:paraId="051541BA"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1B8735D1"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VIP.net standard: Less than 6.9=good; 7.0-8.9=moderate; over 9.0=poor</w:t>
            </w:r>
          </w:p>
        </w:tc>
        <w:tc>
          <w:tcPr>
            <w:tcW w:w="2637" w:type="dxa"/>
            <w:shd w:val="clear" w:color="auto" w:fill="auto"/>
            <w:tcMar>
              <w:top w:w="80" w:type="dxa"/>
              <w:left w:w="80" w:type="dxa"/>
              <w:bottom w:w="80" w:type="dxa"/>
              <w:right w:w="80" w:type="dxa"/>
            </w:tcMar>
          </w:tcPr>
          <w:p w14:paraId="2D286413"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0193FBE2"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Number of HbA1c tests, not level</w:t>
            </w:r>
          </w:p>
        </w:tc>
        <w:tc>
          <w:tcPr>
            <w:tcW w:w="4973" w:type="dxa"/>
            <w:gridSpan w:val="2"/>
            <w:shd w:val="clear" w:color="auto" w:fill="auto"/>
            <w:tcMar>
              <w:top w:w="80" w:type="dxa"/>
              <w:left w:w="80" w:type="dxa"/>
              <w:bottom w:w="80" w:type="dxa"/>
              <w:right w:w="80" w:type="dxa"/>
            </w:tcMar>
          </w:tcPr>
          <w:p w14:paraId="2532AB73"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r>
      <w:tr w:rsidR="008C5AB7" w:rsidRPr="0051741C" w14:paraId="7FB77C50" w14:textId="77777777" w:rsidTr="0051741C">
        <w:trPr>
          <w:trHeight w:val="484"/>
        </w:trPr>
        <w:tc>
          <w:tcPr>
            <w:tcW w:w="2063" w:type="dxa"/>
            <w:shd w:val="clear" w:color="auto" w:fill="auto"/>
            <w:tcMar>
              <w:top w:w="80" w:type="dxa"/>
              <w:left w:w="80" w:type="dxa"/>
              <w:bottom w:w="80" w:type="dxa"/>
              <w:right w:w="80" w:type="dxa"/>
            </w:tcMar>
          </w:tcPr>
          <w:p w14:paraId="1BB66B6A" w14:textId="77777777" w:rsidR="008C5AB7" w:rsidRPr="0051741C" w:rsidRDefault="008C5AB7" w:rsidP="0060707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b/>
                <w:bCs/>
                <w:caps/>
                <w:sz w:val="20"/>
                <w:szCs w:val="20"/>
                <w:lang w:val="en-NZ"/>
              </w:rPr>
              <w:t>Co-morbidities</w:t>
            </w:r>
          </w:p>
        </w:tc>
        <w:tc>
          <w:tcPr>
            <w:tcW w:w="4373" w:type="dxa"/>
            <w:shd w:val="clear" w:color="auto" w:fill="auto"/>
            <w:tcMar>
              <w:top w:w="80" w:type="dxa"/>
              <w:left w:w="80" w:type="dxa"/>
              <w:bottom w:w="80" w:type="dxa"/>
              <w:right w:w="80" w:type="dxa"/>
            </w:tcMar>
          </w:tcPr>
          <w:p w14:paraId="40438176"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p w14:paraId="78CA53AF"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Times New Roman" w:hAnsi="Times New Roman" w:cs="Times New Roman"/>
                <w:sz w:val="20"/>
                <w:szCs w:val="20"/>
                <w:lang w:val="en-NZ"/>
              </w:rPr>
              <w:t>Binary categories (Yes/No) for the presence of Maculopathy, Hypertension, Dyslipidaemia, Cardiovascular disease, Cerebral, PVD, Nephropathy, Neuropathy. The presence of these is determined by the general practitioner.</w:t>
            </w:r>
          </w:p>
        </w:tc>
        <w:tc>
          <w:tcPr>
            <w:tcW w:w="2637" w:type="dxa"/>
            <w:shd w:val="clear" w:color="auto" w:fill="auto"/>
            <w:tcMar>
              <w:top w:w="80" w:type="dxa"/>
              <w:left w:w="80" w:type="dxa"/>
              <w:bottom w:w="80" w:type="dxa"/>
              <w:right w:w="80" w:type="dxa"/>
            </w:tcMar>
          </w:tcPr>
          <w:p w14:paraId="04F95192"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r w:rsidRPr="0051741C">
              <w:rPr>
                <w:rFonts w:ascii="Times New Roman" w:hAnsi="Times New Roman" w:cs="Times New Roman"/>
                <w:sz w:val="20"/>
                <w:szCs w:val="20"/>
                <w:lang w:val="en-NZ"/>
              </w:rPr>
              <w:t xml:space="preserve"> </w:t>
            </w:r>
          </w:p>
        </w:tc>
        <w:tc>
          <w:tcPr>
            <w:tcW w:w="4973" w:type="dxa"/>
            <w:gridSpan w:val="2"/>
            <w:shd w:val="clear" w:color="auto" w:fill="auto"/>
            <w:tcMar>
              <w:top w:w="80" w:type="dxa"/>
              <w:left w:w="80" w:type="dxa"/>
              <w:bottom w:w="80" w:type="dxa"/>
              <w:right w:w="80" w:type="dxa"/>
            </w:tcMar>
          </w:tcPr>
          <w:p w14:paraId="6BBAFE37" w14:textId="77777777" w:rsidR="008C5AB7" w:rsidRPr="0051741C" w:rsidRDefault="008C5AB7" w:rsidP="0060707A">
            <w:pPr>
              <w:pStyle w:val="DecimalAligned"/>
              <w:pBdr>
                <w:top w:val="none" w:sz="0" w:space="0" w:color="auto"/>
                <w:left w:val="none" w:sz="0" w:space="0" w:color="auto"/>
                <w:bottom w:val="none" w:sz="0" w:space="0" w:color="auto"/>
                <w:right w:val="none" w:sz="0" w:space="0" w:color="auto"/>
                <w:between w:val="none" w:sz="0" w:space="0" w:color="auto"/>
                <w:bar w:val="none" w:sz="0" w:color="auto"/>
              </w:pBdr>
              <w:tabs>
                <w:tab w:val="left" w:pos="2312"/>
              </w:tabs>
              <w:spacing w:after="0" w:line="480" w:lineRule="auto"/>
              <w:jc w:val="left"/>
              <w:rPr>
                <w:rFonts w:ascii="Times New Roman" w:hAnsi="Times New Roman" w:cs="Times New Roman"/>
                <w:sz w:val="20"/>
                <w:szCs w:val="20"/>
                <w:lang w:val="en-NZ"/>
              </w:rPr>
            </w:pPr>
            <w:r w:rsidRPr="0051741C">
              <w:rPr>
                <w:rFonts w:ascii="Segoe UI Symbol" w:eastAsia="Arial Unicode MS" w:hAnsi="Segoe UI Symbol" w:cs="Segoe UI Symbol"/>
                <w:sz w:val="20"/>
                <w:szCs w:val="20"/>
                <w:lang w:val="en-NZ"/>
              </w:rPr>
              <w:t>✗</w:t>
            </w:r>
          </w:p>
        </w:tc>
      </w:tr>
    </w:tbl>
    <w:p w14:paraId="465CEC46" w14:textId="77777777" w:rsidR="0051741C" w:rsidRDefault="0051741C" w:rsidP="008C5AB7">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p>
    <w:p w14:paraId="6465CF25" w14:textId="0A10ECE6" w:rsidR="008C5AB7" w:rsidRPr="0051741C" w:rsidRDefault="008C5AB7" w:rsidP="008C5AB7">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r w:rsidRPr="0051741C">
        <w:rPr>
          <w:sz w:val="20"/>
          <w:szCs w:val="20"/>
        </w:rPr>
        <w:t xml:space="preserve">*Source: </w:t>
      </w:r>
      <w:r w:rsidRPr="0051741C">
        <w:rPr>
          <w:sz w:val="20"/>
          <w:szCs w:val="20"/>
        </w:rPr>
        <w:fldChar w:fldCharType="begin"/>
      </w:r>
      <w:r w:rsidRPr="0051741C">
        <w:rPr>
          <w:sz w:val="20"/>
          <w:szCs w:val="20"/>
        </w:rPr>
        <w:instrText xml:space="preserve"> ADDIN EN.REFLIST </w:instrText>
      </w:r>
      <w:r w:rsidRPr="0051741C">
        <w:rPr>
          <w:sz w:val="20"/>
          <w:szCs w:val="20"/>
        </w:rPr>
        <w:fldChar w:fldCharType="separate"/>
      </w:r>
      <w:bookmarkStart w:id="2" w:name="_ENREF_2"/>
      <w:r w:rsidRPr="0051741C">
        <w:rPr>
          <w:noProof/>
          <w:sz w:val="20"/>
          <w:szCs w:val="20"/>
        </w:rPr>
        <w:t xml:space="preserve">Ministry of Health. 2004. </w:t>
      </w:r>
      <w:r w:rsidRPr="0051741C">
        <w:rPr>
          <w:i/>
          <w:noProof/>
          <w:sz w:val="20"/>
          <w:szCs w:val="20"/>
        </w:rPr>
        <w:t xml:space="preserve">Ethnicity Data Protocols for the Health and Disability Sector </w:t>
      </w:r>
      <w:r w:rsidRPr="0051741C">
        <w:rPr>
          <w:noProof/>
          <w:sz w:val="20"/>
          <w:szCs w:val="20"/>
        </w:rPr>
        <w:t xml:space="preserve">[Online]. Wellington: Ministry of Health. Available: </w:t>
      </w:r>
      <w:hyperlink r:id="rId5" w:history="1">
        <w:r w:rsidRPr="0051741C">
          <w:rPr>
            <w:rStyle w:val="Hyperlink"/>
            <w:noProof/>
            <w:sz w:val="20"/>
            <w:szCs w:val="20"/>
          </w:rPr>
          <w:t>http://www.health.govt.nz/publication/ethnicity-data-protocols-health-and-disability-sector</w:t>
        </w:r>
      </w:hyperlink>
      <w:r w:rsidRPr="0051741C">
        <w:rPr>
          <w:noProof/>
          <w:sz w:val="20"/>
          <w:szCs w:val="20"/>
        </w:rPr>
        <w:t>.</w:t>
      </w:r>
      <w:bookmarkEnd w:id="2"/>
    </w:p>
    <w:p w14:paraId="6541D322" w14:textId="0B7D63AE" w:rsidR="008C5AB7" w:rsidRPr="0051741C" w:rsidRDefault="008C5AB7" w:rsidP="008C5AB7">
      <w:pPr>
        <w:rPr>
          <w:noProof/>
          <w:sz w:val="20"/>
          <w:szCs w:val="20"/>
        </w:rPr>
      </w:pPr>
    </w:p>
    <w:p w14:paraId="5D0756E1" w14:textId="4609139A" w:rsidR="008C5AB7" w:rsidRPr="0051741C" w:rsidRDefault="008C5AB7" w:rsidP="00EC64A9">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sz w:val="20"/>
          <w:szCs w:val="20"/>
        </w:rPr>
      </w:pPr>
      <w:r w:rsidRPr="0051741C">
        <w:rPr>
          <w:sz w:val="20"/>
          <w:szCs w:val="20"/>
        </w:rPr>
        <w:fldChar w:fldCharType="end"/>
      </w:r>
      <w:bookmarkStart w:id="3" w:name="_GoBack"/>
      <w:bookmarkEnd w:id="3"/>
    </w:p>
    <w:sectPr w:rsidR="008C5AB7" w:rsidRPr="0051741C" w:rsidSect="00BD3CD8">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vxxrx9fjrf5x6ear9bxeazoxesvd2drxaar&quot;&gt;SR&lt;record-ids&gt;&lt;item&gt;881&lt;/item&gt;&lt;item&gt;1649&lt;/item&gt;&lt;/record-ids&gt;&lt;/item&gt;&lt;/Libraries&gt;"/>
  </w:docVars>
  <w:rsids>
    <w:rsidRoot w:val="00BD3CD8"/>
    <w:rsid w:val="0003798E"/>
    <w:rsid w:val="00073252"/>
    <w:rsid w:val="000E33A0"/>
    <w:rsid w:val="001507B6"/>
    <w:rsid w:val="00164BB6"/>
    <w:rsid w:val="001D6809"/>
    <w:rsid w:val="001D7F90"/>
    <w:rsid w:val="001F2F92"/>
    <w:rsid w:val="00220242"/>
    <w:rsid w:val="00223510"/>
    <w:rsid w:val="00235101"/>
    <w:rsid w:val="00272257"/>
    <w:rsid w:val="00277D15"/>
    <w:rsid w:val="002B62D4"/>
    <w:rsid w:val="002D1030"/>
    <w:rsid w:val="002D68AF"/>
    <w:rsid w:val="00361BCB"/>
    <w:rsid w:val="00372151"/>
    <w:rsid w:val="00373D89"/>
    <w:rsid w:val="003A24A4"/>
    <w:rsid w:val="003D5BFA"/>
    <w:rsid w:val="00436A10"/>
    <w:rsid w:val="004431F3"/>
    <w:rsid w:val="00476F17"/>
    <w:rsid w:val="004906C0"/>
    <w:rsid w:val="004950C6"/>
    <w:rsid w:val="004E7257"/>
    <w:rsid w:val="0051741C"/>
    <w:rsid w:val="0052472F"/>
    <w:rsid w:val="005359FC"/>
    <w:rsid w:val="00582188"/>
    <w:rsid w:val="00585529"/>
    <w:rsid w:val="005D3FC2"/>
    <w:rsid w:val="005F6B7F"/>
    <w:rsid w:val="00602FC4"/>
    <w:rsid w:val="0062539D"/>
    <w:rsid w:val="00667AC4"/>
    <w:rsid w:val="006F16FB"/>
    <w:rsid w:val="00700135"/>
    <w:rsid w:val="00705F40"/>
    <w:rsid w:val="00721192"/>
    <w:rsid w:val="00737907"/>
    <w:rsid w:val="007A69F9"/>
    <w:rsid w:val="00820961"/>
    <w:rsid w:val="008453C0"/>
    <w:rsid w:val="008572EA"/>
    <w:rsid w:val="008575D5"/>
    <w:rsid w:val="00862A08"/>
    <w:rsid w:val="008A434C"/>
    <w:rsid w:val="008C5AB7"/>
    <w:rsid w:val="00917CF1"/>
    <w:rsid w:val="009213EE"/>
    <w:rsid w:val="00931279"/>
    <w:rsid w:val="009A3C95"/>
    <w:rsid w:val="009A5EA4"/>
    <w:rsid w:val="009C54B3"/>
    <w:rsid w:val="009D5716"/>
    <w:rsid w:val="009F7C11"/>
    <w:rsid w:val="00A524F9"/>
    <w:rsid w:val="00AC0003"/>
    <w:rsid w:val="00B12087"/>
    <w:rsid w:val="00B224BD"/>
    <w:rsid w:val="00B6691D"/>
    <w:rsid w:val="00B70504"/>
    <w:rsid w:val="00B80624"/>
    <w:rsid w:val="00BC5BCA"/>
    <w:rsid w:val="00BD3CD8"/>
    <w:rsid w:val="00BF4C28"/>
    <w:rsid w:val="00BF74F6"/>
    <w:rsid w:val="00C0219A"/>
    <w:rsid w:val="00C411C8"/>
    <w:rsid w:val="00C91684"/>
    <w:rsid w:val="00CA07E1"/>
    <w:rsid w:val="00CD6D3B"/>
    <w:rsid w:val="00D03C0B"/>
    <w:rsid w:val="00D71C7A"/>
    <w:rsid w:val="00D8000F"/>
    <w:rsid w:val="00D81E97"/>
    <w:rsid w:val="00DD0172"/>
    <w:rsid w:val="00DD6C91"/>
    <w:rsid w:val="00E54591"/>
    <w:rsid w:val="00EC627D"/>
    <w:rsid w:val="00FB3893"/>
    <w:rsid w:val="00FC44DF"/>
    <w:rsid w:val="00FF3B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DE20"/>
  <w15:docId w15:val="{52519BF1-6455-4C4D-B748-7B36172B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3C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8C5A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2E74B5" w:themeColor="accent1" w:themeShade="BF"/>
      <w:sz w:val="32"/>
      <w:szCs w:val="32"/>
      <w:bdr w:val="none" w:sz="0" w:space="0" w:color="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3CD8"/>
    <w:pPr>
      <w:widowControl w:val="0"/>
      <w:pBdr>
        <w:top w:val="nil"/>
        <w:left w:val="nil"/>
        <w:bottom w:val="nil"/>
        <w:right w:val="nil"/>
        <w:between w:val="nil"/>
        <w:bar w:val="nil"/>
      </w:pBdr>
      <w:spacing w:after="240" w:line="360" w:lineRule="auto"/>
      <w:jc w:val="both"/>
    </w:pPr>
    <w:rPr>
      <w:rFonts w:ascii="Minion Pro" w:eastAsia="Minion Pro" w:hAnsi="Minion Pro" w:cs="Minion Pro"/>
      <w:color w:val="000000"/>
      <w:sz w:val="24"/>
      <w:szCs w:val="24"/>
      <w:u w:color="000000"/>
      <w:bdr w:val="nil"/>
      <w:lang w:val="en-US"/>
    </w:rPr>
  </w:style>
  <w:style w:type="paragraph" w:styleId="Caption">
    <w:name w:val="caption"/>
    <w:next w:val="Body"/>
    <w:rsid w:val="00BD3CD8"/>
    <w:pPr>
      <w:widowControl w:val="0"/>
      <w:pBdr>
        <w:top w:val="nil"/>
        <w:left w:val="nil"/>
        <w:bottom w:val="nil"/>
        <w:right w:val="nil"/>
        <w:between w:val="nil"/>
        <w:bar w:val="nil"/>
      </w:pBdr>
      <w:spacing w:after="200" w:line="240" w:lineRule="auto"/>
      <w:jc w:val="both"/>
    </w:pPr>
    <w:rPr>
      <w:rFonts w:ascii="Minion Pro" w:eastAsia="Minion Pro" w:hAnsi="Minion Pro" w:cs="Minion Pro"/>
      <w:i/>
      <w:iCs/>
      <w:color w:val="000000"/>
      <w:u w:color="000000"/>
      <w:bdr w:val="nil"/>
      <w:lang w:val="en-US"/>
    </w:rPr>
  </w:style>
  <w:style w:type="paragraph" w:customStyle="1" w:styleId="DecimalAligned">
    <w:name w:val="Decimal Aligned"/>
    <w:rsid w:val="00BD3CD8"/>
    <w:pPr>
      <w:widowControl w:val="0"/>
      <w:pBdr>
        <w:top w:val="nil"/>
        <w:left w:val="nil"/>
        <w:bottom w:val="nil"/>
        <w:right w:val="nil"/>
        <w:between w:val="nil"/>
        <w:bar w:val="nil"/>
      </w:pBdr>
      <w:tabs>
        <w:tab w:val="decimal" w:pos="360"/>
      </w:tabs>
      <w:spacing w:after="240" w:line="276" w:lineRule="auto"/>
      <w:jc w:val="both"/>
    </w:pPr>
    <w:rPr>
      <w:rFonts w:ascii="Minion Pro" w:eastAsia="Minion Pro" w:hAnsi="Minion Pro" w:cs="Minion Pro"/>
      <w:color w:val="000000"/>
      <w:u w:color="000000"/>
      <w:bdr w:val="nil"/>
      <w:lang w:val="en-US"/>
    </w:rPr>
  </w:style>
  <w:style w:type="paragraph" w:customStyle="1" w:styleId="Style1">
    <w:name w:val="Style1"/>
    <w:rsid w:val="00BD3CD8"/>
    <w:pPr>
      <w:widowControl w:val="0"/>
      <w:pBdr>
        <w:top w:val="nil"/>
        <w:left w:val="nil"/>
        <w:bottom w:val="nil"/>
        <w:right w:val="nil"/>
        <w:between w:val="nil"/>
        <w:bar w:val="nil"/>
      </w:pBdr>
      <w:tabs>
        <w:tab w:val="decimal" w:pos="360"/>
      </w:tabs>
      <w:spacing w:after="240" w:line="240" w:lineRule="auto"/>
    </w:pPr>
    <w:rPr>
      <w:rFonts w:ascii="Minion Pro" w:eastAsia="Minion Pro" w:hAnsi="Minion Pro" w:cs="Minion Pro"/>
      <w:color w:val="000000"/>
      <w:sz w:val="20"/>
      <w:szCs w:val="20"/>
      <w:u w:color="000000"/>
      <w:bdr w:val="nil"/>
      <w:lang w:val="en-US"/>
    </w:rPr>
  </w:style>
  <w:style w:type="paragraph" w:styleId="CommentText">
    <w:name w:val="annotation text"/>
    <w:basedOn w:val="Normal"/>
    <w:link w:val="CommentTextChar"/>
    <w:uiPriority w:val="99"/>
    <w:unhideWhenUsed/>
    <w:rsid w:val="00BD3CD8"/>
    <w:rPr>
      <w:sz w:val="20"/>
      <w:szCs w:val="20"/>
    </w:rPr>
  </w:style>
  <w:style w:type="character" w:customStyle="1" w:styleId="CommentTextChar">
    <w:name w:val="Comment Text Char"/>
    <w:basedOn w:val="DefaultParagraphFont"/>
    <w:link w:val="CommentText"/>
    <w:uiPriority w:val="99"/>
    <w:rsid w:val="00BD3CD8"/>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BD3CD8"/>
    <w:rPr>
      <w:sz w:val="16"/>
      <w:szCs w:val="16"/>
    </w:rPr>
  </w:style>
  <w:style w:type="paragraph" w:styleId="BalloonText">
    <w:name w:val="Balloon Text"/>
    <w:basedOn w:val="Normal"/>
    <w:link w:val="BalloonTextChar"/>
    <w:uiPriority w:val="99"/>
    <w:semiHidden/>
    <w:unhideWhenUsed/>
    <w:rsid w:val="00BD3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CD8"/>
    <w:rPr>
      <w:rFonts w:ascii="Segoe UI" w:eastAsia="Arial Unicode MS" w:hAnsi="Segoe UI" w:cs="Segoe UI"/>
      <w:sz w:val="18"/>
      <w:szCs w:val="18"/>
      <w:bdr w:val="nil"/>
    </w:rPr>
  </w:style>
  <w:style w:type="character" w:customStyle="1" w:styleId="Heading1Char">
    <w:name w:val="Heading 1 Char"/>
    <w:basedOn w:val="DefaultParagraphFont"/>
    <w:link w:val="Heading1"/>
    <w:uiPriority w:val="9"/>
    <w:rsid w:val="008C5AB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8C5AB7"/>
    <w:rPr>
      <w:color w:val="0563C1" w:themeColor="hyperlink"/>
      <w:u w:val="single"/>
    </w:rPr>
  </w:style>
  <w:style w:type="character" w:customStyle="1" w:styleId="Hyperlink0">
    <w:name w:val="Hyperlink.0"/>
    <w:basedOn w:val="DefaultParagraphFont"/>
    <w:rsid w:val="008C5AB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ealth.govt.nz/publication/ethnicity-data-protocols-health-and-disability-sec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B5AE6-23B6-448D-B7DD-412FB992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Kool</dc:creator>
  <cp:keywords/>
  <dc:description/>
  <cp:lastModifiedBy>ResearchWallet</cp:lastModifiedBy>
  <cp:revision>5</cp:revision>
  <dcterms:created xsi:type="dcterms:W3CDTF">2017-01-24T22:08:00Z</dcterms:created>
  <dcterms:modified xsi:type="dcterms:W3CDTF">2017-02-20T02:15:00Z</dcterms:modified>
</cp:coreProperties>
</file>